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hd w:val="clear" w:color="auto" w:fill="FFFFFF"/>
        <w:spacing w:beforeAutospacing="0" w:afterAutospacing="0" w:line="30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40"/>
          <w:szCs w:val="40"/>
          <w:shd w:val="clear" w:color="auto" w:fill="FFFFFF"/>
        </w:rPr>
        <w:t>关于吴江区中医医院</w:t>
      </w:r>
      <w:r>
        <w:rPr>
          <w:rFonts w:hint="eastAsia" w:ascii="微软雅黑" w:hAnsi="微软雅黑" w:eastAsia="微软雅黑" w:cs="微软雅黑"/>
          <w:color w:val="auto"/>
          <w:sz w:val="40"/>
          <w:szCs w:val="40"/>
          <w:shd w:val="clear" w:color="auto" w:fill="FFFFFF"/>
          <w:lang w:val="en-US" w:eastAsia="zh-CN"/>
        </w:rPr>
        <w:t>国家传染病智能监测预警前置机软件服务器</w:t>
      </w:r>
      <w:r>
        <w:rPr>
          <w:rFonts w:hint="eastAsia" w:ascii="微软雅黑" w:hAnsi="微软雅黑" w:eastAsia="微软雅黑" w:cs="微软雅黑"/>
          <w:color w:val="auto"/>
          <w:sz w:val="40"/>
          <w:szCs w:val="40"/>
          <w:shd w:val="clear" w:color="auto" w:fill="FFFFFF"/>
        </w:rPr>
        <w:t>采购咨询公示</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我院近期将对</w:t>
      </w:r>
      <w:r>
        <w:rPr>
          <w:rFonts w:hint="eastAsia" w:ascii="微软雅黑" w:hAnsi="微软雅黑" w:eastAsia="微软雅黑" w:cs="微软雅黑"/>
          <w:color w:val="auto"/>
          <w:shd w:val="clear" w:color="auto" w:fill="FFFFFF"/>
          <w:lang w:val="en-US" w:eastAsia="zh-CN"/>
        </w:rPr>
        <w:t>吴江区中医医院国家传染病智能监测预警前置机软件服务器</w:t>
      </w:r>
      <w:r>
        <w:rPr>
          <w:rFonts w:hint="eastAsia" w:ascii="微软雅黑" w:hAnsi="微软雅黑" w:eastAsia="微软雅黑" w:cs="微软雅黑"/>
          <w:color w:val="auto"/>
          <w:shd w:val="clear" w:color="auto" w:fill="FFFFFF"/>
        </w:rPr>
        <w:t>进行院内产品介绍及采购咨询，现对该项目进行公示，欢迎符合相关条件的供应商参加。 </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1、项目名称：</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吴江区中医医院</w:t>
      </w:r>
      <w:r>
        <w:rPr>
          <w:rFonts w:hint="eastAsia" w:ascii="微软雅黑" w:hAnsi="微软雅黑" w:eastAsia="微软雅黑" w:cs="微软雅黑"/>
          <w:color w:val="auto"/>
          <w:shd w:val="clear" w:color="auto" w:fill="FFFFFF"/>
          <w:lang w:val="en-US" w:eastAsia="zh-CN"/>
        </w:rPr>
        <w:t>国家传染病智能监测预警前置机软件服务器软硬件环境配置项目</w:t>
      </w:r>
      <w:r>
        <w:rPr>
          <w:rFonts w:hint="eastAsia" w:ascii="微软雅黑" w:hAnsi="微软雅黑" w:eastAsia="微软雅黑" w:cs="微软雅黑"/>
          <w:color w:val="auto"/>
          <w:shd w:val="clear" w:color="auto" w:fill="FFFFFF"/>
        </w:rPr>
        <w:t>。</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2、项目简要说明：</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国家传染病智能监测预警前置机软件服务器软硬件配置。</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3、供应商资格要求:</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①具有独立承担民事责任的能力</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②具有良好的商业信誉和健全的财务会计制度</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③具有履行合同所必需的专业技术能力，有独立自主的开发能力</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④有依法缴纳税收和社会保障资金的良好记录</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⑤在经营活动中没有重大违法记录</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⑥</w:t>
      </w:r>
      <w:r>
        <w:rPr>
          <w:rFonts w:hint="eastAsia" w:ascii="微软雅黑" w:hAnsi="微软雅黑" w:eastAsia="微软雅黑" w:cs="微软雅黑"/>
          <w:color w:val="auto"/>
          <w:shd w:val="clear" w:color="auto" w:fill="FFFFFF"/>
        </w:rPr>
        <w:t>具有各类企业资质证书（企业资质证书、专业资质证书等</w:t>
      </w:r>
      <w:r>
        <w:rPr>
          <w:rFonts w:hint="eastAsia" w:ascii="微软雅黑" w:hAnsi="微软雅黑" w:eastAsia="微软雅黑" w:cs="微软雅黑"/>
          <w:color w:val="auto"/>
          <w:shd w:val="clear" w:color="auto" w:fill="FFFFFF"/>
          <w:lang w:eastAsia="zh-CN"/>
        </w:rPr>
        <w:t>）</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rPr>
      </w:pPr>
      <w:r>
        <w:rPr>
          <w:rFonts w:hint="eastAsia" w:ascii="微软雅黑" w:hAnsi="微软雅黑" w:eastAsia="微软雅黑" w:cs="微软雅黑"/>
          <w:color w:val="auto"/>
          <w:shd w:val="clear" w:color="auto" w:fill="FFFFFF"/>
        </w:rPr>
        <w:t>4、报名</w:t>
      </w:r>
      <w:r>
        <w:rPr>
          <w:rFonts w:hint="eastAsia" w:ascii="微软雅黑" w:hAnsi="微软雅黑" w:eastAsia="微软雅黑" w:cs="微软雅黑"/>
          <w:color w:val="auto"/>
          <w:shd w:val="clear" w:color="auto" w:fill="FFFFFF"/>
          <w:lang w:val="en-US" w:eastAsia="zh-CN"/>
        </w:rPr>
        <w:t>文件要求及谈判询价时间</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报名接收时间：</w:t>
      </w:r>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5</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 xml:space="preserve">22  </w:t>
      </w:r>
      <w:r>
        <w:rPr>
          <w:rFonts w:hint="eastAsia" w:ascii="微软雅黑" w:hAnsi="微软雅黑" w:eastAsia="微软雅黑" w:cs="微软雅黑"/>
          <w:color w:val="auto"/>
          <w:shd w:val="clear" w:color="auto" w:fill="FFFFFF"/>
        </w:rPr>
        <w:t>至</w:t>
      </w:r>
      <w:r>
        <w:rPr>
          <w:rFonts w:hint="eastAsia" w:ascii="微软雅黑" w:hAnsi="微软雅黑" w:eastAsia="微软雅黑" w:cs="微软雅黑"/>
          <w:color w:val="auto"/>
          <w:shd w:val="clear" w:color="auto" w:fill="FFFFFF"/>
          <w:lang w:val="en-US" w:eastAsia="zh-CN"/>
        </w:rPr>
        <w:t xml:space="preserve">  </w:t>
      </w:r>
      <w:bookmarkStart w:id="0" w:name="_GoBack"/>
      <w:bookmarkEnd w:id="0"/>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5</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26</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询价文件接收截止时间：</w:t>
      </w:r>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5</w:t>
      </w:r>
      <w:r>
        <w:rPr>
          <w:rFonts w:hint="eastAsia" w:ascii="微软雅黑" w:hAnsi="微软雅黑" w:eastAsia="微软雅黑" w:cs="微软雅黑"/>
          <w:color w:val="auto"/>
          <w:shd w:val="clear" w:color="auto" w:fill="FFFFFF"/>
        </w:rPr>
        <w:t>-</w:t>
      </w:r>
      <w:r>
        <w:rPr>
          <w:rFonts w:hint="eastAsia" w:ascii="微软雅黑" w:hAnsi="微软雅黑" w:eastAsia="微软雅黑" w:cs="微软雅黑"/>
          <w:color w:val="auto"/>
          <w:shd w:val="clear" w:color="auto" w:fill="FFFFFF"/>
          <w:lang w:val="en-US" w:eastAsia="zh-CN"/>
        </w:rPr>
        <w:t>26  16：</w:t>
      </w:r>
      <w:r>
        <w:rPr>
          <w:rFonts w:hint="eastAsia" w:ascii="微软雅黑" w:hAnsi="微软雅黑" w:eastAsia="微软雅黑" w:cs="微软雅黑"/>
          <w:color w:val="auto"/>
          <w:shd w:val="clear" w:color="auto" w:fill="FFFFFF"/>
        </w:rPr>
        <w:t>00 </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院内</w:t>
      </w:r>
      <w:r>
        <w:rPr>
          <w:rFonts w:hint="eastAsia" w:ascii="微软雅黑" w:hAnsi="微软雅黑" w:eastAsia="微软雅黑" w:cs="微软雅黑"/>
          <w:color w:val="auto"/>
          <w:shd w:val="clear" w:color="auto" w:fill="FFFFFF"/>
          <w:lang w:val="en-US" w:eastAsia="zh-CN"/>
        </w:rPr>
        <w:t>谈判询价</w:t>
      </w:r>
      <w:r>
        <w:rPr>
          <w:rFonts w:hint="eastAsia" w:ascii="微软雅黑" w:hAnsi="微软雅黑" w:eastAsia="微软雅黑" w:cs="微软雅黑"/>
          <w:color w:val="auto"/>
          <w:shd w:val="clear" w:color="auto" w:fill="FFFFFF"/>
        </w:rPr>
        <w:t>时间</w:t>
      </w:r>
      <w:r>
        <w:rPr>
          <w:rFonts w:hint="eastAsia" w:ascii="微软雅黑" w:hAnsi="微软雅黑" w:eastAsia="微软雅黑" w:cs="微软雅黑"/>
          <w:color w:val="auto"/>
          <w:shd w:val="clear" w:color="auto" w:fill="FFFFFF"/>
          <w:lang w:val="en-US" w:eastAsia="zh-CN"/>
        </w:rPr>
        <w:t>待定，具体时间将邮件通知符合条件的报名单位。</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院内</w:t>
      </w:r>
      <w:r>
        <w:rPr>
          <w:rFonts w:hint="eastAsia" w:ascii="微软雅黑" w:hAnsi="微软雅黑" w:eastAsia="微软雅黑" w:cs="微软雅黑"/>
          <w:color w:val="auto"/>
          <w:shd w:val="clear" w:color="auto" w:fill="FFFFFF"/>
          <w:lang w:val="en-US" w:eastAsia="zh-CN"/>
        </w:rPr>
        <w:t>谈判询价</w:t>
      </w:r>
      <w:r>
        <w:rPr>
          <w:rFonts w:hint="eastAsia" w:ascii="微软雅黑" w:hAnsi="微软雅黑" w:eastAsia="微软雅黑" w:cs="微软雅黑"/>
          <w:color w:val="auto"/>
          <w:shd w:val="clear" w:color="auto" w:fill="FFFFFF"/>
        </w:rPr>
        <w:t>地址：</w:t>
      </w:r>
      <w:r>
        <w:rPr>
          <w:rFonts w:hint="eastAsia" w:ascii="微软雅黑" w:hAnsi="微软雅黑" w:eastAsia="微软雅黑" w:cs="微软雅黑"/>
          <w:color w:val="auto"/>
          <w:shd w:val="clear" w:color="auto" w:fill="FFFFFF"/>
          <w:lang w:val="en-US" w:eastAsia="zh-CN"/>
        </w:rPr>
        <w:t>吴江区中医医院大椿路999号。</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eastAsia="zh-CN"/>
        </w:rPr>
      </w:pPr>
      <w:r>
        <w:rPr>
          <w:rFonts w:hint="eastAsia" w:ascii="微软雅黑" w:hAnsi="微软雅黑" w:eastAsia="微软雅黑" w:cs="微软雅黑"/>
          <w:color w:val="auto"/>
          <w:shd w:val="clear" w:color="auto" w:fill="FFFFFF"/>
        </w:rPr>
        <w:t>报名</w:t>
      </w:r>
      <w:r>
        <w:rPr>
          <w:rFonts w:hint="eastAsia" w:ascii="微软雅黑" w:hAnsi="微软雅黑" w:eastAsia="微软雅黑" w:cs="微软雅黑"/>
          <w:color w:val="auto"/>
          <w:shd w:val="clear" w:color="auto" w:fill="FFFFFF"/>
          <w:lang w:val="en-US" w:eastAsia="zh-CN"/>
        </w:rPr>
        <w:t>文件</w:t>
      </w:r>
      <w:r>
        <w:rPr>
          <w:rFonts w:hint="eastAsia" w:ascii="微软雅黑" w:hAnsi="微软雅黑" w:eastAsia="微软雅黑" w:cs="微软雅黑"/>
          <w:color w:val="auto"/>
          <w:shd w:val="clear" w:color="auto" w:fill="FFFFFF"/>
        </w:rPr>
        <w:t>接收地点：苏州市吴江区中医医院信息中心</w:t>
      </w:r>
      <w:r>
        <w:rPr>
          <w:rFonts w:hint="eastAsia" w:ascii="微软雅黑" w:hAnsi="微软雅黑" w:eastAsia="微软雅黑" w:cs="微软雅黑"/>
          <w:color w:val="auto"/>
          <w:shd w:val="clear" w:color="auto" w:fill="FFFFFF"/>
          <w:lang w:eastAsia="zh-CN"/>
        </w:rPr>
        <w:t>。</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报名联系人：吴老师</w:t>
      </w:r>
      <w:r>
        <w:rPr>
          <w:rFonts w:hint="eastAsia" w:ascii="微软雅黑" w:hAnsi="微软雅黑" w:eastAsia="微软雅黑" w:cs="微软雅黑"/>
          <w:color w:val="auto"/>
          <w:shd w:val="clear" w:color="auto" w:fill="FFFFFF"/>
          <w:lang w:val="en-US" w:eastAsia="zh-CN"/>
        </w:rPr>
        <w:t xml:space="preserve"> 189 6257 7794</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报名</w:t>
      </w:r>
      <w:r>
        <w:rPr>
          <w:rFonts w:hint="eastAsia" w:ascii="微软雅黑" w:hAnsi="微软雅黑" w:eastAsia="微软雅黑" w:cs="微软雅黑"/>
          <w:color w:val="auto"/>
          <w:shd w:val="clear" w:color="auto" w:fill="FFFFFF"/>
          <w:lang w:val="en-US" w:eastAsia="zh-CN"/>
        </w:rPr>
        <w:t>及咨询</w:t>
      </w:r>
      <w:r>
        <w:rPr>
          <w:rFonts w:hint="eastAsia" w:ascii="微软雅黑" w:hAnsi="微软雅黑" w:eastAsia="微软雅黑" w:cs="微软雅黑"/>
          <w:color w:val="auto"/>
          <w:shd w:val="clear" w:color="auto" w:fill="FFFFFF"/>
        </w:rPr>
        <w:t xml:space="preserve">邮箱：wuzhiping1004@126.com </w:t>
      </w:r>
      <w:r>
        <w:rPr>
          <w:rFonts w:hint="eastAsia" w:ascii="微软雅黑" w:hAnsi="微软雅黑" w:eastAsia="微软雅黑" w:cs="微软雅黑"/>
          <w:color w:val="auto"/>
          <w:shd w:val="clear" w:color="auto" w:fill="FFFFFF"/>
          <w:lang w:val="en-US" w:eastAsia="zh-CN"/>
        </w:rPr>
        <w:t xml:space="preserve"> </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报名文件要求：附件一、附件二及上文第三大点</w:t>
      </w:r>
      <w:r>
        <w:rPr>
          <w:rFonts w:hint="eastAsia" w:ascii="微软雅黑" w:hAnsi="微软雅黑" w:eastAsia="微软雅黑" w:cs="微软雅黑"/>
          <w:color w:val="auto"/>
          <w:shd w:val="clear" w:color="auto" w:fill="FFFFFF"/>
        </w:rPr>
        <w:t>供应商资格要求</w:t>
      </w:r>
      <w:r>
        <w:rPr>
          <w:rFonts w:hint="eastAsia" w:ascii="微软雅黑" w:hAnsi="微软雅黑" w:eastAsia="微软雅黑" w:cs="微软雅黑"/>
          <w:color w:val="auto"/>
          <w:shd w:val="clear" w:color="auto" w:fill="FFFFFF"/>
          <w:lang w:val="en-US" w:eastAsia="zh-CN"/>
        </w:rPr>
        <w:t>六大点。</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5、</w:t>
      </w:r>
      <w:r>
        <w:rPr>
          <w:rFonts w:hint="eastAsia" w:ascii="微软雅黑" w:hAnsi="微软雅黑" w:eastAsia="微软雅黑" w:cs="微软雅黑"/>
          <w:color w:val="auto"/>
          <w:shd w:val="clear" w:color="auto" w:fill="FFFFFF"/>
          <w:lang w:val="en-US" w:eastAsia="zh-CN"/>
        </w:rPr>
        <w:t>投标</w:t>
      </w:r>
      <w:r>
        <w:rPr>
          <w:rFonts w:hint="eastAsia" w:ascii="微软雅黑" w:hAnsi="微软雅黑" w:eastAsia="微软雅黑" w:cs="微软雅黑"/>
          <w:color w:val="auto"/>
          <w:shd w:val="clear" w:color="auto" w:fill="FFFFFF"/>
        </w:rPr>
        <w:t>文件要求：</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①企业营业执照副本复印件、税务登记证副本复印件、组织机构代码证副本复印件</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②产品的合法代理证明（中文，原件备查）</w:t>
      </w:r>
      <w:r>
        <w:rPr>
          <w:rFonts w:hint="eastAsia" w:ascii="微软雅黑" w:hAnsi="微软雅黑" w:eastAsia="微软雅黑" w:cs="微软雅黑"/>
          <w:color w:val="auto"/>
          <w:shd w:val="clear" w:color="auto" w:fill="FFFFFF"/>
          <w:lang w:val="en-US" w:eastAsia="zh-CN"/>
        </w:rPr>
        <w:t>（如有代理情况则提供，无则不提供）</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③响应单位的法定代表人授权委托书</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④法人代表身份证复印件</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⑤</w:t>
      </w:r>
      <w:r>
        <w:rPr>
          <w:rFonts w:hint="eastAsia" w:ascii="微软雅黑" w:hAnsi="微软雅黑" w:eastAsia="微软雅黑" w:cs="微软雅黑"/>
          <w:color w:val="auto"/>
          <w:shd w:val="clear" w:color="auto" w:fill="FFFFFF"/>
          <w:lang w:val="en-US" w:eastAsia="zh-CN"/>
        </w:rPr>
        <w:t>参加谈判</w:t>
      </w:r>
      <w:r>
        <w:rPr>
          <w:rFonts w:hint="eastAsia" w:ascii="微软雅黑" w:hAnsi="微软雅黑" w:eastAsia="微软雅黑" w:cs="微软雅黑"/>
          <w:color w:val="auto"/>
          <w:shd w:val="clear" w:color="auto" w:fill="FFFFFF"/>
        </w:rPr>
        <w:t>被授权人身份证复印件（原件备查）</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⑥</w:t>
      </w:r>
      <w:r>
        <w:rPr>
          <w:rFonts w:hint="eastAsia" w:ascii="微软雅黑" w:hAnsi="微软雅黑" w:eastAsia="微软雅黑" w:cs="微软雅黑"/>
          <w:color w:val="auto"/>
          <w:shd w:val="clear" w:color="auto" w:fill="FFFFFF"/>
          <w:lang w:val="en-US" w:eastAsia="zh-CN"/>
        </w:rPr>
        <w:t>投标</w:t>
      </w:r>
      <w:r>
        <w:rPr>
          <w:rFonts w:hint="eastAsia" w:ascii="微软雅黑" w:hAnsi="微软雅黑" w:eastAsia="微软雅黑" w:cs="微软雅黑"/>
          <w:color w:val="auto"/>
          <w:shd w:val="clear" w:color="auto" w:fill="FFFFFF"/>
        </w:rPr>
        <w:t>文件</w:t>
      </w:r>
      <w:r>
        <w:rPr>
          <w:rFonts w:hint="eastAsia" w:ascii="微软雅黑" w:hAnsi="微软雅黑" w:eastAsia="微软雅黑" w:cs="微软雅黑"/>
          <w:color w:val="auto"/>
          <w:shd w:val="clear" w:color="auto" w:fill="FFFFFF"/>
          <w:lang w:val="en-US" w:eastAsia="zh-CN"/>
        </w:rPr>
        <w:t>一正本三副本</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⑦院内采购咨询报名表（见附件）</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kern w:val="0"/>
          <w:sz w:val="24"/>
          <w:szCs w:val="24"/>
          <w:shd w:val="clear" w:color="auto" w:fill="FFFFFF"/>
          <w:lang w:val="en-US" w:eastAsia="zh-CN" w:bidi="ar-SA"/>
        </w:rPr>
      </w:pPr>
      <w:r>
        <w:rPr>
          <w:rFonts w:hint="eastAsia" w:ascii="微软雅黑" w:hAnsi="微软雅黑" w:eastAsia="微软雅黑" w:cs="微软雅黑"/>
          <w:color w:val="auto"/>
          <w:shd w:val="clear" w:color="auto" w:fill="FFFFFF"/>
          <w:lang w:val="en-US" w:eastAsia="zh-CN"/>
        </w:rPr>
        <w:t>⑧</w:t>
      </w:r>
      <w:r>
        <w:rPr>
          <w:rFonts w:hint="eastAsia" w:ascii="微软雅黑" w:hAnsi="微软雅黑" w:eastAsia="微软雅黑" w:cs="微软雅黑"/>
          <w:color w:val="auto"/>
          <w:kern w:val="0"/>
          <w:sz w:val="24"/>
          <w:szCs w:val="24"/>
          <w:shd w:val="clear" w:color="auto" w:fill="FFFFFF"/>
          <w:lang w:val="en-US" w:eastAsia="zh-CN" w:bidi="ar-SA"/>
        </w:rPr>
        <w:t>企业资质证书（企业资质证书、专业资质证书等）</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kern w:val="0"/>
          <w:sz w:val="24"/>
          <w:szCs w:val="24"/>
          <w:shd w:val="clear" w:color="auto" w:fill="FFFFFF"/>
          <w:lang w:val="en-US" w:eastAsia="zh-CN" w:bidi="ar-SA"/>
        </w:rPr>
      </w:pPr>
      <w:r>
        <w:rPr>
          <w:rFonts w:hint="eastAsia" w:ascii="微软雅黑" w:hAnsi="微软雅黑" w:eastAsia="微软雅黑" w:cs="微软雅黑"/>
          <w:color w:val="auto"/>
          <w:kern w:val="0"/>
          <w:sz w:val="24"/>
          <w:szCs w:val="24"/>
          <w:shd w:val="clear" w:color="auto" w:fill="FFFFFF"/>
          <w:lang w:val="en-US" w:eastAsia="zh-CN" w:bidi="ar-SA"/>
        </w:rPr>
        <w:t>⑨采购需求中的需求参数响应表</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各供应商在报名文件中所提供的资料均应是真实的，若有虚假，由其自行承担一切后果。 </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6、其他联系事项：</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监察室：0512-</w:t>
      </w:r>
      <w:r>
        <w:rPr>
          <w:rFonts w:hint="eastAsia" w:ascii="微软雅黑" w:hAnsi="微软雅黑" w:eastAsia="微软雅黑" w:cs="微软雅黑"/>
          <w:color w:val="auto"/>
          <w:shd w:val="clear" w:color="auto" w:fill="FFFFFF"/>
          <w:lang w:val="en-US" w:eastAsia="zh-CN"/>
        </w:rPr>
        <w:t>63891269</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采购中心：0512-636565</w:t>
      </w:r>
      <w:r>
        <w:rPr>
          <w:rFonts w:hint="eastAsia" w:ascii="微软雅黑" w:hAnsi="微软雅黑" w:eastAsia="微软雅黑" w:cs="微软雅黑"/>
          <w:color w:val="auto"/>
          <w:shd w:val="clear" w:color="auto" w:fill="FFFFFF"/>
          <w:lang w:val="en-US" w:eastAsia="zh-CN"/>
        </w:rPr>
        <w:t>62</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rPr>
        <w:t>请供应商在报名截止时间前将报名所需文件发送至报名邮箱，及时关注医院网站有关本项目有无变更公告,报名通过将以邮件形式</w:t>
      </w:r>
      <w:r>
        <w:rPr>
          <w:rFonts w:hint="eastAsia" w:ascii="微软雅黑" w:hAnsi="微软雅黑" w:eastAsia="微软雅黑" w:cs="微软雅黑"/>
          <w:color w:val="auto"/>
          <w:shd w:val="clear" w:color="auto" w:fill="FFFFFF"/>
          <w:lang w:val="en-US" w:eastAsia="zh-CN"/>
        </w:rPr>
        <w:t>或电话形式</w:t>
      </w:r>
      <w:r>
        <w:rPr>
          <w:rFonts w:hint="eastAsia" w:ascii="微软雅黑" w:hAnsi="微软雅黑" w:eastAsia="微软雅黑" w:cs="微软雅黑"/>
          <w:color w:val="auto"/>
          <w:shd w:val="clear" w:color="auto" w:fill="FFFFFF"/>
        </w:rPr>
        <w:t>通知</w:t>
      </w:r>
      <w:r>
        <w:rPr>
          <w:rFonts w:hint="eastAsia" w:ascii="微软雅黑" w:hAnsi="微软雅黑" w:eastAsia="微软雅黑" w:cs="微软雅黑"/>
          <w:color w:val="auto"/>
          <w:shd w:val="clear" w:color="auto" w:fill="FFFFFF"/>
          <w:lang w:val="en-US" w:eastAsia="zh-CN"/>
        </w:rPr>
        <w:t>后续具体的具体谈判时间和地点。</w:t>
      </w:r>
    </w:p>
    <w:p>
      <w:pPr>
        <w:pStyle w:val="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备注：地点如无另行通知，一般为：住院楼十二楼5号会议室，届时请带好投标文件前来进行院内谈判调研，投标文件一正本三副本，务必准备妥当，认真对待。</w:t>
      </w:r>
    </w:p>
    <w:p>
      <w:pPr>
        <w:pStyle w:val="6"/>
        <w:widowControl/>
        <w:shd w:val="clear" w:color="auto" w:fill="FFFFFF"/>
        <w:spacing w:beforeAutospacing="0" w:afterAutospacing="0" w:line="300" w:lineRule="atLeast"/>
        <w:ind w:firstLine="480" w:firstLineChars="200"/>
        <w:rPr>
          <w:rFonts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苏州市吴江区中医医院</w:t>
      </w:r>
    </w:p>
    <w:p>
      <w:pPr>
        <w:pStyle w:val="6"/>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rPr>
      </w:pPr>
      <w:r>
        <w:rPr>
          <w:rFonts w:hint="eastAsia" w:ascii="微软雅黑" w:hAnsi="微软雅黑" w:eastAsia="微软雅黑" w:cs="微软雅黑"/>
          <w:color w:val="auto"/>
          <w:shd w:val="clear" w:color="auto" w:fill="FFFFFF"/>
        </w:rPr>
        <w:t xml:space="preserve">                                                            </w:t>
      </w:r>
      <w:r>
        <w:rPr>
          <w:rFonts w:hint="eastAsia" w:ascii="微软雅黑" w:hAnsi="微软雅黑" w:eastAsia="微软雅黑" w:cs="微软雅黑"/>
          <w:color w:val="auto"/>
          <w:shd w:val="clear" w:color="auto" w:fill="FFFFFF"/>
          <w:lang w:val="en-US" w:eastAsia="zh-CN"/>
        </w:rPr>
        <w:t>2024</w:t>
      </w:r>
      <w:r>
        <w:rPr>
          <w:rFonts w:hint="eastAsia" w:ascii="微软雅黑" w:hAnsi="微软雅黑" w:eastAsia="微软雅黑" w:cs="微软雅黑"/>
          <w:color w:val="auto"/>
          <w:shd w:val="clear" w:color="auto" w:fill="FFFFFF"/>
        </w:rPr>
        <w:t>年</w:t>
      </w:r>
      <w:r>
        <w:rPr>
          <w:rFonts w:hint="eastAsia" w:ascii="微软雅黑" w:hAnsi="微软雅黑" w:eastAsia="微软雅黑" w:cs="微软雅黑"/>
          <w:color w:val="auto"/>
          <w:shd w:val="clear" w:color="auto" w:fill="FFFFFF"/>
          <w:lang w:val="en-US" w:eastAsia="zh-CN"/>
        </w:rPr>
        <w:t>5</w:t>
      </w:r>
      <w:r>
        <w:rPr>
          <w:rFonts w:hint="eastAsia" w:ascii="微软雅黑" w:hAnsi="微软雅黑" w:eastAsia="微软雅黑" w:cs="微软雅黑"/>
          <w:color w:val="auto"/>
          <w:shd w:val="clear" w:color="auto" w:fill="FFFFFF"/>
        </w:rPr>
        <w:t>月</w:t>
      </w:r>
      <w:r>
        <w:rPr>
          <w:rFonts w:hint="eastAsia" w:ascii="微软雅黑" w:hAnsi="微软雅黑" w:eastAsia="微软雅黑" w:cs="微软雅黑"/>
          <w:color w:val="auto"/>
          <w:shd w:val="clear" w:color="auto" w:fill="FFFFFF"/>
          <w:lang w:val="en-US" w:eastAsia="zh-CN"/>
        </w:rPr>
        <w:t>22</w:t>
      </w:r>
      <w:r>
        <w:rPr>
          <w:rFonts w:hint="eastAsia" w:ascii="微软雅黑" w:hAnsi="微软雅黑" w:eastAsia="微软雅黑" w:cs="微软雅黑"/>
          <w:color w:val="auto"/>
          <w:shd w:val="clear" w:color="auto" w:fill="FFFFFF"/>
        </w:rPr>
        <w:t>日</w:t>
      </w:r>
    </w:p>
    <w:p>
      <w:pPr>
        <w:pStyle w:val="6"/>
        <w:widowControl/>
        <w:shd w:val="clear" w:color="auto" w:fill="FFFFFF"/>
        <w:spacing w:beforeAutospacing="0" w:afterAutospacing="0" w:line="300" w:lineRule="atLeast"/>
        <w:rPr>
          <w:rFonts w:hint="eastAsia" w:ascii="宋体" w:hAnsi="宋体" w:cs="宋体" w:eastAsiaTheme="minorEastAsia"/>
          <w:b/>
          <w:bCs/>
          <w:color w:val="auto"/>
          <w:kern w:val="2"/>
          <w:sz w:val="28"/>
          <w:szCs w:val="28"/>
          <w:lang w:val="en-US" w:eastAsia="zh-CN" w:bidi="ar-SA"/>
        </w:rPr>
      </w:pPr>
      <w:r>
        <w:rPr>
          <w:rFonts w:hint="eastAsia" w:ascii="宋体" w:hAnsi="宋体" w:cs="宋体" w:eastAsiaTheme="minorEastAsia"/>
          <w:b/>
          <w:bCs/>
          <w:color w:val="auto"/>
          <w:kern w:val="2"/>
          <w:sz w:val="28"/>
          <w:szCs w:val="28"/>
          <w:lang w:val="en-US" w:eastAsia="zh-CN" w:bidi="ar-SA"/>
        </w:rPr>
        <w:t>附件一</w:t>
      </w:r>
    </w:p>
    <w:p>
      <w:pPr>
        <w:pStyle w:val="6"/>
        <w:widowControl/>
        <w:shd w:val="clear" w:color="auto" w:fill="FFFFFF"/>
        <w:spacing w:beforeAutospacing="0" w:afterAutospacing="0" w:line="240" w:lineRule="atLeast"/>
        <w:ind w:firstLine="480"/>
        <w:jc w:val="center"/>
        <w:rPr>
          <w:rFonts w:ascii="微软雅黑" w:hAnsi="微软雅黑" w:eastAsia="微软雅黑" w:cs="微软雅黑"/>
          <w:color w:val="auto"/>
        </w:rPr>
      </w:pPr>
      <w:r>
        <w:rPr>
          <w:rFonts w:hint="eastAsia" w:ascii="微软雅黑" w:hAnsi="微软雅黑" w:eastAsia="微软雅黑" w:cs="微软雅黑"/>
          <w:b/>
          <w:bCs/>
          <w:color w:val="auto"/>
          <w:sz w:val="52"/>
          <w:szCs w:val="52"/>
          <w:shd w:val="clear" w:color="auto" w:fill="FFFFFF"/>
        </w:rPr>
        <w:t>院内采购咨询报名表</w:t>
      </w:r>
    </w:p>
    <w:tbl>
      <w:tblPr>
        <w:tblStyle w:val="7"/>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b/>
                <w:bCs/>
                <w:color w:val="auto"/>
                <w:sz w:val="32"/>
                <w:szCs w:val="3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b/>
                <w:bCs/>
                <w:color w:val="auto"/>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color w:val="auto"/>
                <w:sz w:val="32"/>
                <w:szCs w:val="32"/>
              </w:rPr>
            </w:pPr>
            <w:r>
              <w:rPr>
                <w:rFonts w:hint="eastAsia" w:ascii="微软雅黑" w:hAnsi="微软雅黑" w:eastAsia="微软雅黑" w:cs="微软雅黑"/>
                <w:color w:val="auto"/>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b/>
                <w:bCs/>
                <w:color w:val="auto"/>
                <w:sz w:val="52"/>
                <w:szCs w:val="5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color w:val="auto"/>
                <w:sz w:val="32"/>
                <w:szCs w:val="32"/>
              </w:rPr>
              <w:t>联系人</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b/>
                <w:bCs/>
                <w:color w:val="auto"/>
                <w:sz w:val="52"/>
                <w:szCs w:val="52"/>
              </w:rPr>
              <w:t> </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6"/>
              <w:widowControl/>
              <w:spacing w:beforeAutospacing="0" w:afterAutospacing="0" w:line="24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color w:val="auto"/>
                <w:sz w:val="32"/>
                <w:szCs w:val="32"/>
              </w:rPr>
              <w:t>联系电话</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rPr>
                <w:rFonts w:ascii="微软雅黑" w:hAnsi="微软雅黑" w:eastAsia="微软雅黑" w:cs="微软雅黑"/>
                <w:color w:val="auto"/>
                <w:sz w:val="24"/>
              </w:rPr>
            </w:pPr>
          </w:p>
        </w:tc>
      </w:tr>
    </w:tbl>
    <w:p>
      <w:pPr>
        <w:rPr>
          <w:color w:val="auto"/>
          <w:sz w:val="44"/>
          <w:szCs w:val="52"/>
        </w:rPr>
      </w:pPr>
    </w:p>
    <w:p>
      <w:pPr>
        <w:pStyle w:val="3"/>
        <w:rPr>
          <w:color w:val="auto"/>
        </w:rPr>
      </w:pPr>
    </w:p>
    <w:p>
      <w:pPr>
        <w:rPr>
          <w:rFonts w:ascii="宋体" w:hAnsi="宋体"/>
          <w:color w:val="auto"/>
          <w:sz w:val="24"/>
        </w:rPr>
      </w:pPr>
    </w:p>
    <w:p>
      <w:pPr>
        <w:spacing w:line="360" w:lineRule="exact"/>
        <w:ind w:firstLine="548" w:firstLineChars="196"/>
        <w:rPr>
          <w:rFonts w:ascii="黑体" w:hAnsi="黑体" w:eastAsia="黑体"/>
          <w:color w:val="auto"/>
          <w:sz w:val="28"/>
          <w:szCs w:val="28"/>
        </w:rPr>
      </w:pPr>
      <w:r>
        <w:rPr>
          <w:rFonts w:hint="eastAsia" w:ascii="黑体" w:hAnsi="黑体" w:eastAsia="黑体"/>
          <w:color w:val="auto"/>
          <w:sz w:val="28"/>
          <w:szCs w:val="28"/>
        </w:rPr>
        <w:t>附件</w:t>
      </w:r>
      <w:r>
        <w:rPr>
          <w:rFonts w:hint="eastAsia" w:ascii="黑体" w:hAnsi="黑体" w:eastAsia="黑体"/>
          <w:color w:val="auto"/>
          <w:sz w:val="28"/>
          <w:szCs w:val="28"/>
          <w:lang w:val="en-US" w:eastAsia="zh-CN"/>
        </w:rPr>
        <w:t>二</w:t>
      </w:r>
      <w:r>
        <w:rPr>
          <w:rFonts w:hint="eastAsia" w:ascii="黑体" w:hAnsi="黑体" w:eastAsia="黑体"/>
          <w:color w:val="auto"/>
          <w:sz w:val="28"/>
          <w:szCs w:val="28"/>
        </w:rPr>
        <w:t>：</w:t>
      </w:r>
    </w:p>
    <w:p>
      <w:pPr>
        <w:rPr>
          <w:b/>
          <w:color w:val="auto"/>
        </w:rPr>
      </w:pPr>
    </w:p>
    <w:p>
      <w:pPr>
        <w:jc w:val="center"/>
        <w:rPr>
          <w:b/>
          <w:color w:val="auto"/>
          <w:sz w:val="36"/>
          <w:szCs w:val="36"/>
        </w:rPr>
      </w:pPr>
      <w:r>
        <w:rPr>
          <w:rFonts w:hint="eastAsia"/>
          <w:b/>
          <w:color w:val="auto"/>
          <w:sz w:val="36"/>
          <w:szCs w:val="36"/>
        </w:rPr>
        <w:t>法定代表人授权委托书</w:t>
      </w:r>
    </w:p>
    <w:p>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本授权委托书声明：  我</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姓名）系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（投标人名称）的法定代表人，现授权委托</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（姓名）为我公司授权代表（即代理人），以本公司的名义参加</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组织实施的            招标活动。代理人在开标、评标、合同谈判过程中所签署的一切文件和处理与这有关的一切事务，我均予以承认。</w:t>
      </w:r>
    </w:p>
    <w:p>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代理人在授权委托书有效期内签署的所有文件不因授权委托的撤销而失效，除非有撤销授权委托的书面通知，本授权委托书自投标开始至合同履行完毕止。</w:t>
      </w:r>
    </w:p>
    <w:p>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代理人无转委托权。特此委托。</w:t>
      </w:r>
    </w:p>
    <w:p>
      <w:pPr>
        <w:overflowPunct w:val="0"/>
        <w:adjustRightInd w:val="0"/>
        <w:spacing w:line="276" w:lineRule="auto"/>
        <w:ind w:firstLine="420"/>
        <w:textAlignment w:val="baseline"/>
        <w:rPr>
          <w:rFonts w:ascii="仿宋" w:hAnsi="仿宋" w:eastAsia="仿宋" w:cs="仿宋"/>
          <w:color w:val="auto"/>
          <w:sz w:val="28"/>
          <w:szCs w:val="28"/>
        </w:rPr>
      </w:pPr>
      <w:r>
        <w:rPr>
          <w:rFonts w:hint="eastAsia" w:ascii="仿宋" w:hAnsi="仿宋" w:eastAsia="仿宋" w:cs="仿宋"/>
          <w:color w:val="auto"/>
          <w:sz w:val="28"/>
          <w:szCs w:val="28"/>
        </w:rPr>
        <w:t>附：代理人身份证复印件</w:t>
      </w:r>
    </w:p>
    <w:p>
      <w:pPr>
        <w:spacing w:line="276" w:lineRule="auto"/>
        <w:ind w:right="-115" w:rightChars="-55" w:firstLine="4760" w:firstLineChars="1700"/>
        <w:rPr>
          <w:rFonts w:ascii="仿宋" w:hAnsi="仿宋" w:eastAsia="仿宋" w:cs="仿宋"/>
          <w:color w:val="auto"/>
          <w:sz w:val="28"/>
          <w:szCs w:val="28"/>
        </w:rPr>
      </w:pPr>
      <w:r>
        <w:rPr>
          <w:rFonts w:hint="eastAsia" w:ascii="仿宋" w:hAnsi="仿宋" w:eastAsia="仿宋" w:cs="仿宋"/>
          <w:color w:val="auto"/>
          <w:sz w:val="28"/>
          <w:szCs w:val="28"/>
        </w:rPr>
        <w:t xml:space="preserve">投标人名称（公章）：                           </w:t>
      </w:r>
    </w:p>
    <w:p>
      <w:pPr>
        <w:spacing w:line="276" w:lineRule="auto"/>
        <w:ind w:right="-115" w:rightChars="-55" w:firstLine="4760" w:firstLineChars="1700"/>
        <w:rPr>
          <w:rFonts w:ascii="仿宋" w:hAnsi="仿宋" w:eastAsia="仿宋" w:cs="仿宋"/>
          <w:color w:val="auto"/>
          <w:sz w:val="28"/>
          <w:szCs w:val="28"/>
        </w:rPr>
      </w:pPr>
      <w:r>
        <w:rPr>
          <w:rFonts w:hint="eastAsia" w:ascii="仿宋" w:hAnsi="仿宋" w:eastAsia="仿宋" w:cs="仿宋"/>
          <w:color w:val="auto"/>
          <w:sz w:val="28"/>
          <w:szCs w:val="28"/>
        </w:rPr>
        <w:t xml:space="preserve">法定代表人（签字或盖章）：                     </w:t>
      </w:r>
    </w:p>
    <w:p>
      <w:pPr>
        <w:spacing w:line="276" w:lineRule="auto"/>
        <w:ind w:right="-115" w:rightChars="-55" w:firstLine="4760" w:firstLineChars="1700"/>
        <w:rPr>
          <w:rFonts w:ascii="仿宋" w:hAnsi="仿宋" w:eastAsia="仿宋" w:cs="仿宋"/>
          <w:color w:val="auto"/>
          <w:sz w:val="28"/>
          <w:szCs w:val="28"/>
        </w:rPr>
      </w:pPr>
      <w:r>
        <w:rPr>
          <w:rFonts w:hint="eastAsia" w:ascii="仿宋" w:hAnsi="仿宋" w:eastAsia="仿宋" w:cs="仿宋"/>
          <w:color w:val="auto"/>
          <w:sz w:val="28"/>
          <w:szCs w:val="28"/>
        </w:rPr>
        <w:t xml:space="preserve">授权代表（签字或盖章）：                       </w:t>
      </w:r>
    </w:p>
    <w:p>
      <w:pPr>
        <w:spacing w:line="276" w:lineRule="auto"/>
        <w:ind w:right="-115" w:rightChars="-55" w:firstLine="4760" w:firstLineChars="1700"/>
        <w:rPr>
          <w:rFonts w:hint="eastAsia" w:ascii="仿宋" w:hAnsi="仿宋" w:eastAsia="仿宋" w:cs="仿宋"/>
          <w:color w:val="auto"/>
          <w:sz w:val="28"/>
          <w:szCs w:val="28"/>
        </w:rPr>
      </w:pPr>
      <w:r>
        <w:rPr>
          <w:rFonts w:hint="eastAsia" w:ascii="仿宋" w:hAnsi="仿宋" w:eastAsia="仿宋" w:cs="仿宋"/>
          <w:color w:val="auto"/>
          <w:sz w:val="28"/>
          <w:szCs w:val="28"/>
        </w:rPr>
        <w:t>日期：    年    月    日</w:t>
      </w:r>
    </w:p>
    <w:p>
      <w:pPr>
        <w:spacing w:line="276" w:lineRule="auto"/>
        <w:ind w:right="-115" w:rightChars="-55" w:firstLine="4760" w:firstLineChars="1700"/>
        <w:rPr>
          <w:rFonts w:hint="eastAsia" w:ascii="仿宋" w:hAnsi="仿宋" w:eastAsia="仿宋" w:cs="仿宋"/>
          <w:color w:val="auto"/>
          <w:sz w:val="28"/>
          <w:szCs w:val="28"/>
        </w:rPr>
      </w:pPr>
    </w:p>
    <w:p>
      <w:pPr>
        <w:spacing w:line="360" w:lineRule="exact"/>
        <w:rPr>
          <w:rFonts w:hint="eastAsia" w:ascii="黑体" w:hAnsi="黑体" w:eastAsia="黑体"/>
          <w:color w:val="auto"/>
          <w:sz w:val="28"/>
          <w:szCs w:val="28"/>
          <w:lang w:val="en-US" w:eastAsia="zh-CN"/>
        </w:rPr>
      </w:pPr>
      <w:r>
        <w:rPr>
          <w:rFonts w:hint="eastAsia" w:ascii="黑体" w:hAnsi="黑体" w:eastAsia="黑体"/>
          <w:color w:val="auto"/>
          <w:sz w:val="28"/>
          <w:szCs w:val="28"/>
          <w:lang w:val="en-US" w:eastAsia="zh-CN"/>
        </w:rPr>
        <w:t>附件三</w:t>
      </w:r>
    </w:p>
    <w:p>
      <w:pPr>
        <w:overflowPunct w:val="0"/>
        <w:adjustRightInd w:val="0"/>
        <w:spacing w:line="276" w:lineRule="auto"/>
        <w:ind w:firstLine="420"/>
        <w:jc w:val="center"/>
        <w:textAlignment w:val="baseline"/>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国家传染病智能监测预警前置软件服务器软硬件环境配置要求(试行)</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为保证国家传染病智能监测预警前置软件安全稳定运行，医疗机构需按照以下要求配置前置软件部署运行所需软硬件环境及相关保障。</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一、服务器配置要求</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医院需配备专用服务器至少1台，并提供独立的数据备份存储空间，同时做好网络安全保障工作。</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服务器软硬件运行配置的基本要求如下:</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(一)CPU:采用国产自研CPU，二级医院物理核数&gt;32核，三级医院物理核数≥64 核。</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(二)内存:二级医院&gt;128GB，三级医院&gt;256GB:</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(三)存储空间:&gt;1T，存储介质类型:SSD</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(四)配置双网卡:方便连接院内网络环境和外部网络。</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(五)GPU卡或NPU支持:可选配备GPU或NPU卡，便于提高AI算法计算速度和准确性，推荐传染病病例数量多的医院选配。</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(六)操作系统:使用麒麟、欧拉、统信等国产操作系统的服务器版。</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(七)数据库支持:前置软件统一配备了OpenGauss 或同等架构的数据库，服务器需支持运行此架构数据库。</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具体配置可依据机构类别、交换数据范围、门诊人次数等因素调整。相关信创要求，参考中国信息安全评测中心发布的《安全可靠测评结果公告(2023年第1号)》。</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二、网络配置要求(一)端口要求</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1.前置服务器对外开放端口(入方向)说明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2055"/>
        <w:gridCol w:w="1065"/>
        <w:gridCol w:w="1350"/>
        <w:gridCol w:w="1280"/>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vAlign w:val="center"/>
          </w:tcPr>
          <w:p>
            <w:pPr>
              <w:overflowPunct w:val="0"/>
              <w:adjustRightInd w:val="0"/>
              <w:spacing w:line="276" w:lineRule="auto"/>
              <w:jc w:val="center"/>
              <w:textAlignment w:val="baseline"/>
              <w:rPr>
                <w:rFonts w:hint="default"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端口对应服务</w:t>
            </w:r>
          </w:p>
        </w:tc>
        <w:tc>
          <w:tcPr>
            <w:tcW w:w="2055" w:type="dxa"/>
            <w:vAlign w:val="center"/>
          </w:tcPr>
          <w:p>
            <w:pPr>
              <w:overflowPunct w:val="0"/>
              <w:adjustRightInd w:val="0"/>
              <w:spacing w:line="276" w:lineRule="auto"/>
              <w:jc w:val="center"/>
              <w:textAlignment w:val="baseline"/>
              <w:rPr>
                <w:rFonts w:hint="default"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用途</w:t>
            </w:r>
          </w:p>
        </w:tc>
        <w:tc>
          <w:tcPr>
            <w:tcW w:w="1065" w:type="dxa"/>
            <w:vAlign w:val="center"/>
          </w:tcPr>
          <w:p>
            <w:pPr>
              <w:overflowPunct w:val="0"/>
              <w:adjustRightInd w:val="0"/>
              <w:spacing w:line="276" w:lineRule="auto"/>
              <w:jc w:val="center"/>
              <w:textAlignment w:val="baseline"/>
              <w:rPr>
                <w:rFonts w:hint="default"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端口号</w:t>
            </w:r>
          </w:p>
        </w:tc>
        <w:tc>
          <w:tcPr>
            <w:tcW w:w="1350" w:type="dxa"/>
            <w:vAlign w:val="center"/>
          </w:tcPr>
          <w:p>
            <w:pPr>
              <w:overflowPunct w:val="0"/>
              <w:adjustRightInd w:val="0"/>
              <w:spacing w:line="276" w:lineRule="auto"/>
              <w:jc w:val="center"/>
              <w:textAlignment w:val="baseline"/>
              <w:rPr>
                <w:rFonts w:hint="default"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调用方</w:t>
            </w:r>
          </w:p>
        </w:tc>
        <w:tc>
          <w:tcPr>
            <w:tcW w:w="1280" w:type="dxa"/>
            <w:vAlign w:val="center"/>
          </w:tcPr>
          <w:p>
            <w:pPr>
              <w:overflowPunct w:val="0"/>
              <w:adjustRightInd w:val="0"/>
              <w:spacing w:line="276" w:lineRule="auto"/>
              <w:jc w:val="center"/>
              <w:textAlignment w:val="baseline"/>
              <w:rPr>
                <w:rFonts w:hint="default"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是否需要对外IP</w:t>
            </w:r>
          </w:p>
        </w:tc>
        <w:tc>
          <w:tcPr>
            <w:tcW w:w="1421" w:type="dxa"/>
            <w:vAlign w:val="center"/>
          </w:tcPr>
          <w:p>
            <w:pPr>
              <w:overflowPunct w:val="0"/>
              <w:adjustRightInd w:val="0"/>
              <w:spacing w:line="276" w:lineRule="auto"/>
              <w:jc w:val="center"/>
              <w:textAlignment w:val="baseline"/>
              <w:rPr>
                <w:rFonts w:hint="default"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vertAlign w:val="baseline"/>
                <w:lang w:val="en-US" w:eastAsia="zh-CN"/>
              </w:rPr>
              <w:t>网络环境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数据操作 API</w:t>
            </w:r>
          </w:p>
        </w:tc>
        <w:tc>
          <w:tcPr>
            <w:tcW w:w="2055"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院内系统通过数据操作API接口方式同步EMR数据使用</w:t>
            </w:r>
          </w:p>
        </w:tc>
        <w:tc>
          <w:tcPr>
            <w:tcW w:w="1065"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8881</w:t>
            </w:r>
          </w:p>
        </w:tc>
        <w:tc>
          <w:tcPr>
            <w:tcW w:w="135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院内系统</w:t>
            </w:r>
          </w:p>
        </w:tc>
        <w:tc>
          <w:tcPr>
            <w:tcW w:w="128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是</w:t>
            </w:r>
          </w:p>
        </w:tc>
        <w:tc>
          <w:tcPr>
            <w:tcW w:w="1421"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医疗机构内网环境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数据库访问</w:t>
            </w:r>
          </w:p>
        </w:tc>
        <w:tc>
          <w:tcPr>
            <w:tcW w:w="2055"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院内系统通过数据库连接方式同步EMR数据使用</w:t>
            </w:r>
          </w:p>
        </w:tc>
        <w:tc>
          <w:tcPr>
            <w:tcW w:w="1065"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5432</w:t>
            </w:r>
          </w:p>
        </w:tc>
        <w:tc>
          <w:tcPr>
            <w:tcW w:w="135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院内系统</w:t>
            </w:r>
          </w:p>
        </w:tc>
        <w:tc>
          <w:tcPr>
            <w:tcW w:w="128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是</w:t>
            </w:r>
          </w:p>
        </w:tc>
        <w:tc>
          <w:tcPr>
            <w:tcW w:w="1421"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医疗机构内网环境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前置软件配置更新</w:t>
            </w:r>
          </w:p>
        </w:tc>
        <w:tc>
          <w:tcPr>
            <w:tcW w:w="2055"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国家平台下发配置数据使用</w:t>
            </w:r>
          </w:p>
        </w:tc>
        <w:tc>
          <w:tcPr>
            <w:tcW w:w="1065"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8882</w:t>
            </w:r>
          </w:p>
        </w:tc>
        <w:tc>
          <w:tcPr>
            <w:tcW w:w="135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国家平台</w:t>
            </w:r>
          </w:p>
        </w:tc>
        <w:tc>
          <w:tcPr>
            <w:tcW w:w="128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是</w:t>
            </w:r>
          </w:p>
        </w:tc>
        <w:tc>
          <w:tcPr>
            <w:tcW w:w="1421"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政务外网/疾控 VPN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前置软件监控管理</w:t>
            </w:r>
          </w:p>
        </w:tc>
        <w:tc>
          <w:tcPr>
            <w:tcW w:w="2055"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国家平台进行前置软件监控使用</w:t>
            </w:r>
          </w:p>
        </w:tc>
        <w:tc>
          <w:tcPr>
            <w:tcW w:w="1065"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8883</w:t>
            </w:r>
          </w:p>
        </w:tc>
        <w:tc>
          <w:tcPr>
            <w:tcW w:w="1350"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国家平台</w:t>
            </w:r>
          </w:p>
        </w:tc>
        <w:tc>
          <w:tcPr>
            <w:tcW w:w="128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是</w:t>
            </w:r>
          </w:p>
        </w:tc>
        <w:tc>
          <w:tcPr>
            <w:tcW w:w="1421"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政务外网/疾控VPN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1"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前置软件PC端web服务</w:t>
            </w:r>
          </w:p>
        </w:tc>
        <w:tc>
          <w:tcPr>
            <w:tcW w:w="2055"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防保科医生、临床医生使用系统功能时使用</w:t>
            </w:r>
          </w:p>
        </w:tc>
        <w:tc>
          <w:tcPr>
            <w:tcW w:w="1065" w:type="dxa"/>
            <w:vAlign w:val="center"/>
          </w:tcPr>
          <w:p>
            <w:pPr>
              <w:overflowPunct w:val="0"/>
              <w:adjustRightInd w:val="0"/>
              <w:spacing w:line="276" w:lineRule="auto"/>
              <w:jc w:val="center"/>
              <w:textAlignment w:val="baseline"/>
              <w:rPr>
                <w:rFonts w:hint="default" w:ascii="仿宋" w:hAnsi="仿宋" w:eastAsia="仿宋" w:cs="仿宋"/>
                <w:color w:val="auto"/>
                <w:sz w:val="28"/>
                <w:szCs w:val="28"/>
                <w:vertAlign w:val="baseline"/>
                <w:lang w:val="en-US" w:eastAsia="zh-CN"/>
              </w:rPr>
            </w:pPr>
            <w:r>
              <w:rPr>
                <w:rFonts w:hint="eastAsia" w:ascii="仿宋" w:hAnsi="仿宋" w:eastAsia="仿宋" w:cs="仿宋"/>
                <w:color w:val="auto"/>
                <w:sz w:val="28"/>
                <w:szCs w:val="28"/>
                <w:vertAlign w:val="baseline"/>
                <w:lang w:val="en-US" w:eastAsia="zh-CN"/>
              </w:rPr>
              <w:t>8884</w:t>
            </w:r>
          </w:p>
        </w:tc>
        <w:tc>
          <w:tcPr>
            <w:tcW w:w="135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防保科医生、临床医生PC端</w:t>
            </w:r>
          </w:p>
        </w:tc>
        <w:tc>
          <w:tcPr>
            <w:tcW w:w="128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是</w:t>
            </w:r>
          </w:p>
        </w:tc>
        <w:tc>
          <w:tcPr>
            <w:tcW w:w="1421"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政务外网/疾控 VPN/医疗机构内网环境</w:t>
            </w:r>
          </w:p>
        </w:tc>
      </w:tr>
    </w:tbl>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*说明:指定开放端口号如已被占用，可更换为其他端口并进行说明。</w:t>
      </w:r>
    </w:p>
    <w:p>
      <w:pPr>
        <w:numPr>
          <w:ilvl w:val="0"/>
          <w:numId w:val="1"/>
        </w:num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前置服务器对外访问端口(出方向)说明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overflowPunct w:val="0"/>
              <w:adjustRightInd w:val="0"/>
              <w:spacing w:line="276" w:lineRule="auto"/>
              <w:jc w:val="center"/>
              <w:textAlignment w:val="baseline"/>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lang w:val="en-US" w:eastAsia="zh-CN"/>
              </w:rPr>
              <w:t>源服务器</w:t>
            </w:r>
          </w:p>
        </w:tc>
        <w:tc>
          <w:tcPr>
            <w:tcW w:w="2130" w:type="dxa"/>
            <w:vAlign w:val="center"/>
          </w:tcPr>
          <w:p>
            <w:pPr>
              <w:numPr>
                <w:ilvl w:val="0"/>
                <w:numId w:val="0"/>
              </w:numPr>
              <w:overflowPunct w:val="0"/>
              <w:adjustRightInd w:val="0"/>
              <w:spacing w:line="276" w:lineRule="auto"/>
              <w:jc w:val="center"/>
              <w:textAlignment w:val="baseline"/>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lang w:val="en-US" w:eastAsia="zh-CN"/>
              </w:rPr>
              <w:t>目标服务器</w:t>
            </w:r>
          </w:p>
        </w:tc>
        <w:tc>
          <w:tcPr>
            <w:tcW w:w="2131" w:type="dxa"/>
            <w:vAlign w:val="center"/>
          </w:tcPr>
          <w:p>
            <w:pPr>
              <w:overflowPunct w:val="0"/>
              <w:adjustRightInd w:val="0"/>
              <w:spacing w:line="276" w:lineRule="auto"/>
              <w:jc w:val="center"/>
              <w:textAlignment w:val="baseline"/>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lang w:val="en-US" w:eastAsia="zh-CN"/>
              </w:rPr>
              <w:t>目标服务器 IP 地址</w:t>
            </w:r>
          </w:p>
        </w:tc>
        <w:tc>
          <w:tcPr>
            <w:tcW w:w="2131" w:type="dxa"/>
            <w:vAlign w:val="center"/>
          </w:tcPr>
          <w:p>
            <w:pPr>
              <w:overflowPunct w:val="0"/>
              <w:adjustRightInd w:val="0"/>
              <w:spacing w:line="276" w:lineRule="auto"/>
              <w:jc w:val="center"/>
              <w:textAlignment w:val="baseline"/>
              <w:rPr>
                <w:rFonts w:hint="eastAsia" w:ascii="仿宋" w:hAnsi="仿宋" w:eastAsia="仿宋" w:cs="仿宋"/>
                <w:b/>
                <w:bCs/>
                <w:color w:val="auto"/>
                <w:sz w:val="28"/>
                <w:szCs w:val="28"/>
                <w:vertAlign w:val="baseline"/>
                <w:lang w:val="en-US" w:eastAsia="zh-CN"/>
              </w:rPr>
            </w:pPr>
            <w:r>
              <w:rPr>
                <w:rFonts w:hint="eastAsia" w:ascii="仿宋" w:hAnsi="仿宋" w:eastAsia="仿宋" w:cs="仿宋"/>
                <w:b/>
                <w:bCs/>
                <w:color w:val="auto"/>
                <w:sz w:val="28"/>
                <w:szCs w:val="28"/>
                <w:lang w:val="en-US" w:eastAsia="zh-CN"/>
              </w:rPr>
              <w:t>协议/端口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前置软件</w:t>
            </w:r>
          </w:p>
        </w:tc>
        <w:tc>
          <w:tcPr>
            <w:tcW w:w="2130"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国家平台</w:t>
            </w:r>
          </w:p>
        </w:tc>
        <w:tc>
          <w:tcPr>
            <w:tcW w:w="2131"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待定</w:t>
            </w:r>
          </w:p>
        </w:tc>
        <w:tc>
          <w:tcPr>
            <w:tcW w:w="2131" w:type="dxa"/>
            <w:vAlign w:val="center"/>
          </w:tcPr>
          <w:p>
            <w:pPr>
              <w:overflowPunct w:val="0"/>
              <w:adjustRightInd w:val="0"/>
              <w:spacing w:line="276" w:lineRule="auto"/>
              <w:jc w:val="center"/>
              <w:textAlignment w:val="baseline"/>
              <w:rPr>
                <w:rFonts w:hint="eastAsia" w:ascii="仿宋" w:hAnsi="仿宋" w:eastAsia="仿宋" w:cs="仿宋"/>
                <w:color w:val="auto"/>
                <w:sz w:val="28"/>
                <w:szCs w:val="28"/>
                <w:vertAlign w:val="baseline"/>
                <w:lang w:val="en-US" w:eastAsia="zh-CN"/>
              </w:rPr>
            </w:pPr>
            <w:r>
              <w:rPr>
                <w:rFonts w:hint="eastAsia" w:ascii="仿宋" w:hAnsi="仿宋" w:eastAsia="仿宋" w:cs="仿宋"/>
                <w:color w:val="auto"/>
                <w:sz w:val="28"/>
                <w:szCs w:val="28"/>
                <w:lang w:val="en-US" w:eastAsia="zh-CN"/>
              </w:rPr>
              <w:t>HTTPS/8888</w:t>
            </w:r>
          </w:p>
        </w:tc>
      </w:tr>
    </w:tbl>
    <w:p>
      <w:pPr>
        <w:numPr>
          <w:ilvl w:val="0"/>
          <w:numId w:val="0"/>
        </w:numPr>
        <w:overflowPunct w:val="0"/>
        <w:adjustRightInd w:val="0"/>
        <w:spacing w:line="276" w:lineRule="auto"/>
        <w:textAlignment w:val="baseline"/>
        <w:rPr>
          <w:rFonts w:hint="eastAsia" w:ascii="仿宋" w:hAnsi="仿宋" w:eastAsia="仿宋" w:cs="仿宋"/>
          <w:color w:val="auto"/>
          <w:sz w:val="28"/>
          <w:szCs w:val="28"/>
          <w:lang w:val="en-US" w:eastAsia="zh-CN"/>
        </w:rPr>
      </w:pP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(二)带宽要求</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为保证数据交换传输效率，医疗机构部署前置软件所在服务器电子政务外网网络出口带宽原则上达到10M及以上。</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三、安全相关配置要求</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保障前置软件安全运行，各医疗机构需保障其部署环境安全和数据存储安全。按需自行配备防病毒、防火墙、入侵防御IPSURL过滤等安全相关功能以及相关法律法规要求的数字证书和配套密码产品或服务以保障存储、传输的完整性、加密性和不可否认性，所用CA证书应与现有传染病网络直报系统采用的CA证书兼容互认。同时医疗机构需建立工作制度，做好前置软件的日常运维和安全保障工作，发现安全问题或漏洞，及时提交相关方处置。</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四、工作保障相关要求</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为保障前置软件安全可靠连续运行，医疗机构需协调安排院内相关网络管理团队、安全管理团队、软件开发和运维团队，支持前置软件的实施部署方，做好软件的对接、运行保障以及安全保障工作。</w:t>
      </w:r>
    </w:p>
    <w:p>
      <w:pPr>
        <w:overflowPunct w:val="0"/>
        <w:adjustRightInd w:val="0"/>
        <w:spacing w:line="276" w:lineRule="auto"/>
        <w:ind w:firstLine="420"/>
        <w:textAlignment w:val="baseline"/>
        <w:rPr>
          <w:rFonts w:hint="eastAsia" w:ascii="仿宋" w:hAnsi="仿宋" w:eastAsia="仿宋" w:cs="仿宋"/>
          <w:color w:val="auto"/>
          <w:sz w:val="28"/>
          <w:szCs w:val="28"/>
          <w:lang w:val="en-US" w:eastAsia="zh-CN"/>
        </w:rPr>
      </w:pPr>
    </w:p>
    <w:p>
      <w:pPr>
        <w:spacing w:line="276" w:lineRule="auto"/>
        <w:ind w:right="-115" w:rightChars="-55"/>
        <w:jc w:val="left"/>
        <w:rPr>
          <w:rFonts w:hint="eastAsia" w:ascii="仿宋" w:hAnsi="仿宋" w:eastAsia="仿宋" w:cs="仿宋"/>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43E023"/>
    <w:multiLevelType w:val="singleLevel"/>
    <w:tmpl w:val="F343E02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CD121E"/>
    <w:rsid w:val="00D0227F"/>
    <w:rsid w:val="00D03E35"/>
    <w:rsid w:val="00D1309E"/>
    <w:rsid w:val="02807276"/>
    <w:rsid w:val="02D445C7"/>
    <w:rsid w:val="097D4E34"/>
    <w:rsid w:val="0BC57674"/>
    <w:rsid w:val="0C437732"/>
    <w:rsid w:val="0C7C1FDF"/>
    <w:rsid w:val="0CCC4058"/>
    <w:rsid w:val="0D5154EF"/>
    <w:rsid w:val="0DA026E6"/>
    <w:rsid w:val="0F860A35"/>
    <w:rsid w:val="0FDC69B3"/>
    <w:rsid w:val="11FA2F21"/>
    <w:rsid w:val="1203345F"/>
    <w:rsid w:val="13261799"/>
    <w:rsid w:val="13CB4998"/>
    <w:rsid w:val="15BF1692"/>
    <w:rsid w:val="16BF796D"/>
    <w:rsid w:val="17F31273"/>
    <w:rsid w:val="18F76334"/>
    <w:rsid w:val="191A6149"/>
    <w:rsid w:val="1A0A7A8C"/>
    <w:rsid w:val="1A9441C4"/>
    <w:rsid w:val="1D4848F9"/>
    <w:rsid w:val="1DB775F0"/>
    <w:rsid w:val="1F727AE9"/>
    <w:rsid w:val="20672C08"/>
    <w:rsid w:val="20E93B38"/>
    <w:rsid w:val="21105668"/>
    <w:rsid w:val="232A04B6"/>
    <w:rsid w:val="23A844F8"/>
    <w:rsid w:val="276716D6"/>
    <w:rsid w:val="280E04A5"/>
    <w:rsid w:val="28632A43"/>
    <w:rsid w:val="2B792023"/>
    <w:rsid w:val="2CCD4AFF"/>
    <w:rsid w:val="2D462D19"/>
    <w:rsid w:val="2DDB3DB1"/>
    <w:rsid w:val="2EB96346"/>
    <w:rsid w:val="2ED0406E"/>
    <w:rsid w:val="2FDC1A2B"/>
    <w:rsid w:val="346C76AD"/>
    <w:rsid w:val="35153E9A"/>
    <w:rsid w:val="36BE46BB"/>
    <w:rsid w:val="37986F24"/>
    <w:rsid w:val="37987A5E"/>
    <w:rsid w:val="38FD01D1"/>
    <w:rsid w:val="3B427BE3"/>
    <w:rsid w:val="3BC31A52"/>
    <w:rsid w:val="3C0678D2"/>
    <w:rsid w:val="3C152DBD"/>
    <w:rsid w:val="3D1B3E52"/>
    <w:rsid w:val="3E2E62DF"/>
    <w:rsid w:val="3E867F14"/>
    <w:rsid w:val="3E9056D3"/>
    <w:rsid w:val="3F520710"/>
    <w:rsid w:val="428C4181"/>
    <w:rsid w:val="430D321B"/>
    <w:rsid w:val="46352F9D"/>
    <w:rsid w:val="46F71DBC"/>
    <w:rsid w:val="497F70F8"/>
    <w:rsid w:val="4A196F32"/>
    <w:rsid w:val="4ADB547B"/>
    <w:rsid w:val="4B3348D0"/>
    <w:rsid w:val="4BAE4815"/>
    <w:rsid w:val="4BB92EC3"/>
    <w:rsid w:val="4CB00CE3"/>
    <w:rsid w:val="4CCC0BA3"/>
    <w:rsid w:val="4D866310"/>
    <w:rsid w:val="4E357B02"/>
    <w:rsid w:val="4E8929DD"/>
    <w:rsid w:val="50BE54A9"/>
    <w:rsid w:val="52F318FC"/>
    <w:rsid w:val="54267DA4"/>
    <w:rsid w:val="54705699"/>
    <w:rsid w:val="54D50EB0"/>
    <w:rsid w:val="55291AF5"/>
    <w:rsid w:val="55E404F6"/>
    <w:rsid w:val="568201E0"/>
    <w:rsid w:val="59B14FC6"/>
    <w:rsid w:val="5A7D303C"/>
    <w:rsid w:val="5AC051B0"/>
    <w:rsid w:val="5B3E583B"/>
    <w:rsid w:val="5BC15E3F"/>
    <w:rsid w:val="5CA644DC"/>
    <w:rsid w:val="5CCB34AA"/>
    <w:rsid w:val="5E4915C3"/>
    <w:rsid w:val="5E87590C"/>
    <w:rsid w:val="60030F64"/>
    <w:rsid w:val="60081500"/>
    <w:rsid w:val="623065F6"/>
    <w:rsid w:val="62335ECC"/>
    <w:rsid w:val="63FD444A"/>
    <w:rsid w:val="64104633"/>
    <w:rsid w:val="64D67929"/>
    <w:rsid w:val="66ED2BFB"/>
    <w:rsid w:val="677B5394"/>
    <w:rsid w:val="69AE2A5F"/>
    <w:rsid w:val="69E72097"/>
    <w:rsid w:val="6C7955F0"/>
    <w:rsid w:val="6CBE3CC9"/>
    <w:rsid w:val="6E3D2C7C"/>
    <w:rsid w:val="6E950D2C"/>
    <w:rsid w:val="703662DF"/>
    <w:rsid w:val="708B7E9F"/>
    <w:rsid w:val="72637AFF"/>
    <w:rsid w:val="77013680"/>
    <w:rsid w:val="77D953F3"/>
    <w:rsid w:val="78373497"/>
    <w:rsid w:val="79517DF8"/>
    <w:rsid w:val="7B4D7FF5"/>
    <w:rsid w:val="7BF34B33"/>
    <w:rsid w:val="7C87122E"/>
    <w:rsid w:val="7C9B5BF7"/>
    <w:rsid w:val="7D4742D3"/>
    <w:rsid w:val="7F0445F8"/>
    <w:rsid w:val="7F0F0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spacing w:line="300" w:lineRule="auto"/>
      <w:ind w:firstLine="560" w:firstLineChars="200"/>
      <w:jc w:val="left"/>
    </w:pPr>
    <w:rPr>
      <w:sz w:val="2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u w:val="single"/>
    </w:rPr>
  </w:style>
  <w:style w:type="character" w:customStyle="1" w:styleId="11">
    <w:name w:val="页眉 Char"/>
    <w:basedOn w:val="9"/>
    <w:link w:val="5"/>
    <w:autoRedefine/>
    <w:qFormat/>
    <w:uiPriority w:val="0"/>
    <w:rPr>
      <w:rFonts w:asciiTheme="minorHAnsi" w:hAnsiTheme="minorHAnsi" w:eastAsiaTheme="minorEastAsia" w:cstheme="minorBidi"/>
      <w:kern w:val="2"/>
      <w:sz w:val="18"/>
      <w:szCs w:val="18"/>
    </w:rPr>
  </w:style>
  <w:style w:type="character" w:customStyle="1" w:styleId="12">
    <w:name w:val="页脚 Char"/>
    <w:basedOn w:val="9"/>
    <w:link w:val="4"/>
    <w:qFormat/>
    <w:uiPriority w:val="0"/>
    <w:rPr>
      <w:rFonts w:asciiTheme="minorHAnsi" w:hAnsiTheme="minorHAnsi" w:eastAsiaTheme="minorEastAsia" w:cstheme="minorBidi"/>
      <w:kern w:val="2"/>
      <w:sz w:val="18"/>
      <w:szCs w:val="18"/>
    </w:rPr>
  </w:style>
  <w:style w:type="character" w:customStyle="1" w:styleId="13">
    <w:name w:val="font21"/>
    <w:basedOn w:val="9"/>
    <w:autoRedefine/>
    <w:qFormat/>
    <w:uiPriority w:val="0"/>
    <w:rPr>
      <w:rFonts w:hint="eastAsia" w:ascii="宋体" w:hAnsi="宋体" w:eastAsia="宋体" w:cs="宋体"/>
      <w:color w:val="000000"/>
      <w:sz w:val="21"/>
      <w:szCs w:val="21"/>
      <w:u w:val="none"/>
    </w:rPr>
  </w:style>
  <w:style w:type="character" w:customStyle="1" w:styleId="14">
    <w:name w:val="font31"/>
    <w:basedOn w:val="9"/>
    <w:autoRedefine/>
    <w:qFormat/>
    <w:uiPriority w:val="0"/>
    <w:rPr>
      <w:rFonts w:hint="eastAsia" w:ascii="宋体" w:hAnsi="宋体" w:eastAsia="宋体" w:cs="宋体"/>
      <w:color w:val="000000"/>
      <w:sz w:val="21"/>
      <w:szCs w:val="21"/>
      <w:u w:val="single"/>
    </w:rPr>
  </w:style>
  <w:style w:type="character" w:customStyle="1" w:styleId="15">
    <w:name w:val="font11"/>
    <w:basedOn w:val="9"/>
    <w:qFormat/>
    <w:uiPriority w:val="0"/>
    <w:rPr>
      <w:rFonts w:hint="eastAsia" w:ascii="宋体" w:hAnsi="宋体" w:eastAsia="宋体" w:cs="宋体"/>
      <w:b/>
      <w:bCs/>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7</Pages>
  <Words>1106</Words>
  <Characters>1201</Characters>
  <Lines>8</Lines>
  <Paragraphs>2</Paragraphs>
  <TotalTime>0</TotalTime>
  <ScaleCrop>false</ScaleCrop>
  <LinksUpToDate>false</LinksUpToDate>
  <CharactersWithSpaces>1483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ໂWuzpໃ</cp:lastModifiedBy>
  <dcterms:modified xsi:type="dcterms:W3CDTF">2024-05-22T05:44:50Z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755A870D4B4048E393C0A189AA105A0D</vt:lpwstr>
  </property>
</Properties>
</file>